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9</w:t>
      </w:r>
      <w:r>
        <w:rPr>
          <w:b/>
          <w:bCs/>
        </w:rPr>
        <w:t>/2024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 και κατόπιν απόφασης του Προέδρου που ελήφθη την </w:t>
      </w:r>
      <w:r>
        <w:rPr/>
        <w:t>11</w:t>
      </w:r>
      <w:r>
        <w:rPr/>
        <w:t xml:space="preserve">η Νοεμβρίου 2024, επί του θέματος: </w:t>
      </w:r>
      <w:r>
        <w:rPr>
          <w:b/>
          <w:bCs/>
        </w:rPr>
        <w:t>“</w:t>
      </w:r>
      <w:r>
        <w:rPr>
          <w:b/>
          <w:bCs/>
        </w:rPr>
        <w:t>Εορταστικός στολισμός Δ.Κ. Λουτρού</w:t>
      </w:r>
      <w:r>
        <w:rPr>
          <w:b/>
          <w:bCs/>
          <w:sz w:val="22"/>
          <w:szCs w:val="22"/>
          <w:lang w:val="el-GR"/>
        </w:rPr>
        <w:t xml:space="preserve">”, </w:t>
      </w:r>
      <w:r>
        <w:rPr>
          <w:b w:val="false"/>
          <w:bCs w:val="false"/>
          <w:sz w:val="22"/>
          <w:szCs w:val="22"/>
          <w:lang w:val="el-GR"/>
        </w:rPr>
        <w:t>που απ</w:t>
      </w:r>
      <w:r>
        <w:rPr/>
        <w:t>οφάσισε:</w:t>
      </w:r>
    </w:p>
    <w:p>
      <w:pPr>
        <w:pStyle w:val="Normal"/>
        <w:jc w:val="left"/>
        <w:rPr>
          <w:rFonts w:ascii="Tahoma" w:hAnsi="Tahoma"/>
          <w:sz w:val="17"/>
        </w:rPr>
      </w:pPr>
      <w:r>
        <w:rPr>
          <w:rFonts w:cs="Calibri"/>
          <w:b/>
          <w:bCs/>
          <w:sz w:val="22"/>
          <w:szCs w:val="22"/>
        </w:rPr>
        <w:t>Εγκρίνει τις δαπάνες για τον εορταστικό στολισμό των οικισμών Αργυρ</w:t>
      </w:r>
      <w:r>
        <w:rPr>
          <w:rFonts w:cs="Calibri"/>
          <w:b/>
          <w:bCs/>
          <w:sz w:val="22"/>
          <w:szCs w:val="22"/>
        </w:rPr>
        <w:t>όμυ</w:t>
      </w:r>
      <w:r>
        <w:rPr>
          <w:rFonts w:cs="Calibri"/>
          <w:b/>
          <w:bCs/>
          <w:sz w:val="22"/>
          <w:szCs w:val="22"/>
        </w:rPr>
        <w:t>λου και Λουτρού. Το ποσό που θα δαπανηθεί για το σκοπό αυτό ανέρχεται στα 1.500 ευρώ, για την τοποθέτηση, σύνδεση και αποξήλωση φ</w:t>
      </w:r>
      <w:r>
        <w:rPr>
          <w:rFonts w:cs="Calibri"/>
          <w:b/>
          <w:bCs/>
          <w:sz w:val="22"/>
          <w:szCs w:val="22"/>
        </w:rPr>
        <w:t>ω</w:t>
      </w:r>
      <w:r>
        <w:rPr>
          <w:rFonts w:cs="Calibri"/>
          <w:b/>
          <w:bCs/>
          <w:sz w:val="22"/>
          <w:szCs w:val="22"/>
        </w:rPr>
        <w:t>τοσ</w:t>
      </w:r>
      <w:r>
        <w:rPr>
          <w:rFonts w:cs="Calibri"/>
          <w:b/>
          <w:bCs/>
          <w:sz w:val="22"/>
          <w:szCs w:val="22"/>
        </w:rPr>
        <w:t>ωλή</w:t>
      </w:r>
      <w:r>
        <w:rPr>
          <w:rFonts w:cs="Calibri"/>
          <w:b/>
          <w:bCs/>
          <w:sz w:val="22"/>
          <w:szCs w:val="22"/>
        </w:rPr>
        <w:t>νων και χριστουγεννιάτικων παραστάσεων σε κολώνες .</w:t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Tahom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LibreOffice/7.5.6.2$Windows_x86 LibreOffice_project/f654817fb68d6d4600d7d2f6b647e47729f55f15</Application>
  <AppVersion>15.0000</AppVersion>
  <Pages>1</Pages>
  <Words>124</Words>
  <Characters>743</Characters>
  <CharactersWithSpaces>967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2024-11-06T09:15:01Z</cp:lastPrinted>
  <dcterms:modified xsi:type="dcterms:W3CDTF">2024-11-14T08:54:44Z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